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1D" w:rsidRDefault="003B3F1D" w:rsidP="003B3F1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9422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F1D" w:rsidRPr="003B3F1D" w:rsidRDefault="003B3F1D" w:rsidP="003B3F1D">
      <w:pPr>
        <w:rPr>
          <w:b/>
          <w:bCs/>
        </w:rPr>
      </w:pPr>
      <w:r w:rsidRPr="0017385F">
        <w:br w:type="textWrapping" w:clear="all"/>
      </w:r>
    </w:p>
    <w:p w:rsidR="003B3F1D" w:rsidRPr="003B3F1D" w:rsidRDefault="003B3F1D" w:rsidP="003B3F1D">
      <w:pPr>
        <w:jc w:val="center"/>
        <w:rPr>
          <w:b/>
          <w:bCs/>
        </w:rPr>
      </w:pPr>
      <w:r w:rsidRPr="003B3F1D">
        <w:rPr>
          <w:b/>
          <w:bCs/>
        </w:rPr>
        <w:t>ПУБЛИЧНОЕ АКЦИОНЕРНОЕ ОБЩЕСТВО</w:t>
      </w:r>
    </w:p>
    <w:p w:rsidR="003B3F1D" w:rsidRPr="003B3F1D" w:rsidRDefault="003B3F1D" w:rsidP="003B3F1D">
      <w:pPr>
        <w:jc w:val="center"/>
        <w:rPr>
          <w:b/>
          <w:bCs/>
        </w:rPr>
      </w:pPr>
      <w:r w:rsidRPr="003B3F1D">
        <w:rPr>
          <w:b/>
          <w:bCs/>
        </w:rPr>
        <w:t>«ВОЛГОГРАДОБЛЭЛЕКТРО»</w:t>
      </w:r>
    </w:p>
    <w:p w:rsidR="003B3F1D" w:rsidRPr="003B3F1D" w:rsidRDefault="003B3F1D" w:rsidP="003B3F1D">
      <w:pPr>
        <w:jc w:val="center"/>
        <w:rPr>
          <w:b/>
          <w:bCs/>
        </w:rPr>
      </w:pPr>
      <w:r w:rsidRPr="003B3F1D">
        <w:rPr>
          <w:b/>
          <w:bCs/>
        </w:rPr>
        <w:t>(ПАО ВОЭ)</w:t>
      </w:r>
    </w:p>
    <w:p w:rsidR="003B3F1D" w:rsidRPr="00273B52" w:rsidRDefault="003B3F1D" w:rsidP="003B3F1D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r w:rsidRPr="00273B52">
          <w:rPr>
            <w:rStyle w:val="a3"/>
            <w:sz w:val="20"/>
            <w:szCs w:val="20"/>
            <w:lang w:val="en-US"/>
          </w:rPr>
          <w:t>ru</w:t>
        </w:r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:rsidR="003B3F1D" w:rsidRPr="0017385F" w:rsidRDefault="003B3F1D" w:rsidP="003B3F1D">
      <w:pPr>
        <w:pStyle w:val="Default"/>
        <w:rPr>
          <w:b/>
          <w:bCs/>
          <w:sz w:val="22"/>
          <w:szCs w:val="22"/>
        </w:rPr>
      </w:pPr>
    </w:p>
    <w:p w:rsidR="003B3F1D" w:rsidRPr="0017385F" w:rsidRDefault="003B3F1D" w:rsidP="003B3F1D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3B3F1D" w:rsidRPr="0017385F" w:rsidRDefault="003B3F1D" w:rsidP="003B3F1D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инвентарь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3B3F1D" w:rsidRPr="0017385F" w:rsidRDefault="003B3F1D" w:rsidP="003B3F1D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3B3F1D" w:rsidRPr="00B97783" w:rsidTr="005D5521">
        <w:trPr>
          <w:trHeight w:val="440"/>
          <w:tblHeader/>
        </w:trPr>
        <w:tc>
          <w:tcPr>
            <w:tcW w:w="426" w:type="dxa"/>
            <w:vAlign w:val="center"/>
          </w:tcPr>
          <w:p w:rsidR="003B3F1D" w:rsidRPr="00CE2347" w:rsidRDefault="003B3F1D" w:rsidP="005D5521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3B3F1D" w:rsidRPr="00CE2347" w:rsidRDefault="003B3F1D" w:rsidP="005D552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3B3F1D" w:rsidRPr="00CE2347" w:rsidRDefault="003B3F1D" w:rsidP="005D552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3B3F1D" w:rsidRPr="00B97783" w:rsidTr="005D5521">
        <w:trPr>
          <w:trHeight w:val="315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3B3F1D" w:rsidRPr="00CE2347" w:rsidRDefault="003B3F1D" w:rsidP="005D552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3B3F1D" w:rsidRPr="00B97783" w:rsidTr="005D5521">
        <w:trPr>
          <w:trHeight w:val="964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3B3F1D" w:rsidRPr="00B97783" w:rsidTr="005D5521">
        <w:trPr>
          <w:trHeight w:val="1299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3B3F1D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3B3F1D" w:rsidRPr="00CE2347" w:rsidRDefault="003B3F1D" w:rsidP="005D552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3B3F1D" w:rsidRPr="00CE2347" w:rsidRDefault="003B3F1D" w:rsidP="005D552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Кострюкова Юлия Сергеевна</w:t>
            </w:r>
          </w:p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Тел.: (8442)</w:t>
            </w:r>
            <w:r>
              <w:rPr>
                <w:bCs/>
                <w:sz w:val="22"/>
                <w:szCs w:val="22"/>
              </w:rPr>
              <w:t xml:space="preserve"> 56-20-88, доб. 1</w:t>
            </w:r>
            <w:r w:rsidR="00B4420F">
              <w:rPr>
                <w:bCs/>
                <w:sz w:val="22"/>
                <w:szCs w:val="22"/>
              </w:rPr>
              <w:t>097</w:t>
            </w:r>
          </w:p>
        </w:tc>
      </w:tr>
      <w:tr w:rsidR="003B3F1D" w:rsidRPr="00B97783" w:rsidTr="005D5521">
        <w:trPr>
          <w:trHeight w:val="1299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5E8D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3B3F1D" w:rsidRPr="003B5E8D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B5E8D">
              <w:rPr>
                <w:sz w:val="22"/>
                <w:szCs w:val="22"/>
              </w:rPr>
              <w:t xml:space="preserve">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>
              <w:rPr>
                <w:sz w:val="22"/>
                <w:szCs w:val="22"/>
              </w:rPr>
              <w:t>инвентарь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3B3F1D" w:rsidRPr="00B97783" w:rsidTr="005D5521">
        <w:trPr>
          <w:trHeight w:val="724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3B3F1D" w:rsidRPr="00DC641C" w:rsidRDefault="006474D0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3B3F1D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3B3F1D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3B3F1D" w:rsidRPr="00B97783" w:rsidTr="005D5521">
        <w:trPr>
          <w:trHeight w:val="1299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3B3F1D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B3F1D">
                <w:rPr>
                  <w:sz w:val="22"/>
                  <w:szCs w:val="22"/>
                </w:rPr>
                <w:t>2011 г</w:t>
              </w:r>
            </w:smartTag>
            <w:r w:rsidRPr="003B3F1D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3B3F1D" w:rsidRPr="00B97783" w:rsidTr="005D5521">
        <w:trPr>
          <w:trHeight w:val="499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инвентарь</w:t>
            </w:r>
            <w:r w:rsidRPr="003B3F1D">
              <w:rPr>
                <w:sz w:val="22"/>
                <w:szCs w:val="22"/>
              </w:rPr>
              <w:t>)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3B3F1D" w:rsidRPr="003B3F1D" w:rsidRDefault="003B3F1D" w:rsidP="005D552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3B3F1D" w:rsidRPr="003B3F1D" w:rsidRDefault="003B3F1D" w:rsidP="005D552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3B3F1D" w:rsidRPr="00B97783" w:rsidTr="005D5521">
        <w:trPr>
          <w:trHeight w:val="1056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B3F1D">
              <w:rPr>
                <w:b/>
                <w:bCs/>
                <w:sz w:val="22"/>
                <w:szCs w:val="22"/>
              </w:rPr>
              <w:t>Лот №1. Инвентарь.</w:t>
            </w:r>
          </w:p>
          <w:p w:rsid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B3F1D">
              <w:rPr>
                <w:b/>
                <w:bCs/>
                <w:sz w:val="22"/>
                <w:szCs w:val="22"/>
              </w:rPr>
              <w:t xml:space="preserve">Место поставки товара: </w:t>
            </w:r>
            <w:r w:rsidRPr="003B3F1D">
              <w:rPr>
                <w:sz w:val="22"/>
                <w:szCs w:val="22"/>
              </w:rPr>
              <w:t>400075 г. Волгоград, ул. Шопена, 13</w:t>
            </w:r>
            <w:r>
              <w:rPr>
                <w:sz w:val="22"/>
                <w:szCs w:val="22"/>
              </w:rPr>
              <w:t>.</w:t>
            </w:r>
          </w:p>
          <w:p w:rsid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B3F1D">
              <w:rPr>
                <w:b/>
                <w:bCs/>
                <w:sz w:val="22"/>
                <w:szCs w:val="22"/>
              </w:rPr>
              <w:t>Срок предоставления гарантии качества товара:</w:t>
            </w:r>
          </w:p>
          <w:p w:rsid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Минимальный срок предоставления гарантии качества товара</w:t>
            </w:r>
            <w:r w:rsidRPr="003B3F1D">
              <w:rPr>
                <w:b/>
                <w:bCs/>
                <w:sz w:val="22"/>
                <w:szCs w:val="22"/>
              </w:rPr>
              <w:t xml:space="preserve"> - </w:t>
            </w:r>
            <w:r w:rsidRPr="003B3F1D">
              <w:rPr>
                <w:sz w:val="22"/>
                <w:szCs w:val="22"/>
              </w:rPr>
              <w:t>должен соответствовать сроку изготовителя, но</w:t>
            </w:r>
            <w:r w:rsidRPr="003B3F1D">
              <w:rPr>
                <w:b/>
                <w:bCs/>
                <w:sz w:val="22"/>
                <w:szCs w:val="22"/>
              </w:rPr>
              <w:t xml:space="preserve"> не менее 1 года.  </w:t>
            </w:r>
          </w:p>
          <w:p w:rsidR="003B3F1D" w:rsidRP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Материалы должны быть новыми.</w:t>
            </w:r>
          </w:p>
          <w:p w:rsidR="003B3F1D" w:rsidRP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Материалы по техническим характеристикам должны полностью соответствовать указанным в графе "Наименование" Технического задания или аналоги</w:t>
            </w:r>
            <w:r>
              <w:rPr>
                <w:sz w:val="22"/>
                <w:szCs w:val="22"/>
              </w:rPr>
              <w:t>.</w:t>
            </w:r>
          </w:p>
          <w:p w:rsid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B3F1D">
              <w:rPr>
                <w:b/>
                <w:bCs/>
                <w:sz w:val="22"/>
                <w:szCs w:val="22"/>
              </w:rPr>
              <w:t xml:space="preserve">Срок (период) поставки товаров: </w:t>
            </w:r>
            <w:r w:rsidRPr="003B3F1D">
              <w:rPr>
                <w:sz w:val="22"/>
                <w:szCs w:val="22"/>
              </w:rPr>
              <w:t>Максимальный срок поставки товаров</w:t>
            </w:r>
            <w:r w:rsidRPr="003B3F1D">
              <w:rPr>
                <w:b/>
                <w:bCs/>
                <w:sz w:val="22"/>
                <w:szCs w:val="22"/>
              </w:rPr>
              <w:t xml:space="preserve"> в течение 20 календарных дней </w:t>
            </w:r>
            <w:r w:rsidRPr="003B3F1D">
              <w:rPr>
                <w:sz w:val="22"/>
                <w:szCs w:val="22"/>
              </w:rPr>
              <w:t>со дня заключения договора</w:t>
            </w:r>
            <w:r w:rsidRPr="003B3F1D">
              <w:rPr>
                <w:b/>
                <w:bCs/>
                <w:sz w:val="22"/>
                <w:szCs w:val="22"/>
              </w:rPr>
              <w:t>.</w:t>
            </w:r>
          </w:p>
          <w:p w:rsidR="003B3F1D" w:rsidRP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:rsidR="003B3F1D" w:rsidRPr="003B3F1D" w:rsidRDefault="003B3F1D" w:rsidP="003B3F1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B3F1D" w:rsidRPr="00B97783" w:rsidTr="005D5521">
        <w:trPr>
          <w:trHeight w:val="1299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3B3F1D">
              <w:rPr>
                <w:b/>
                <w:bCs/>
                <w:sz w:val="22"/>
                <w:szCs w:val="22"/>
              </w:rPr>
              <w:t>Лот № 1:</w:t>
            </w:r>
            <w:r w:rsidRPr="003B3F1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B3F1D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sz w:val="22"/>
                <w:szCs w:val="22"/>
              </w:rPr>
              <w:t xml:space="preserve">372 308 </w:t>
            </w:r>
            <w:r w:rsidRPr="003B3F1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триста семьдесят две тысячи триста восемь</w:t>
            </w:r>
            <w:r w:rsidRPr="003B3F1D">
              <w:rPr>
                <w:b/>
                <w:sz w:val="22"/>
                <w:szCs w:val="22"/>
              </w:rPr>
              <w:t xml:space="preserve">) рублей </w:t>
            </w:r>
            <w:r>
              <w:rPr>
                <w:b/>
                <w:sz w:val="22"/>
                <w:szCs w:val="22"/>
              </w:rPr>
              <w:t xml:space="preserve">00 </w:t>
            </w:r>
            <w:r w:rsidRPr="003B3F1D">
              <w:rPr>
                <w:b/>
                <w:sz w:val="22"/>
                <w:szCs w:val="22"/>
              </w:rPr>
              <w:t xml:space="preserve">копеек, с учетом НДС 20%. </w:t>
            </w:r>
          </w:p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3B3F1D">
              <w:rPr>
                <w:bCs/>
                <w:sz w:val="22"/>
                <w:szCs w:val="22"/>
              </w:rPr>
              <w:t>Начальная (максимальная) цена договора без НДС</w:t>
            </w:r>
            <w:r w:rsidRPr="003B3F1D">
              <w:rPr>
                <w:b/>
                <w:sz w:val="22"/>
                <w:szCs w:val="22"/>
              </w:rPr>
              <w:t xml:space="preserve">: </w:t>
            </w:r>
            <w:r w:rsidRPr="003B3F1D">
              <w:rPr>
                <w:b/>
                <w:bCs/>
                <w:color w:val="000000"/>
                <w:sz w:val="22"/>
                <w:szCs w:val="22"/>
              </w:rPr>
              <w:t>310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3F1D">
              <w:rPr>
                <w:b/>
                <w:bCs/>
                <w:color w:val="000000"/>
                <w:sz w:val="22"/>
                <w:szCs w:val="22"/>
              </w:rPr>
              <w:t>256</w:t>
            </w:r>
            <w:r w:rsidRPr="003B3F1D">
              <w:rPr>
                <w:b/>
                <w:sz w:val="18"/>
                <w:szCs w:val="18"/>
              </w:rPr>
              <w:t xml:space="preserve"> </w:t>
            </w:r>
            <w:r w:rsidRPr="003B3F1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триста десять тысяч двести пятьдесят шесть</w:t>
            </w:r>
            <w:r w:rsidRPr="003B3F1D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</w:t>
            </w:r>
            <w:r w:rsidRPr="003B3F1D">
              <w:rPr>
                <w:b/>
                <w:sz w:val="22"/>
                <w:szCs w:val="22"/>
              </w:rPr>
              <w:t xml:space="preserve"> </w:t>
            </w:r>
            <w:r w:rsidRPr="003B3F1D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Pr="003B3F1D">
              <w:rPr>
                <w:b/>
                <w:sz w:val="22"/>
                <w:szCs w:val="22"/>
              </w:rPr>
              <w:t xml:space="preserve"> копеек. </w:t>
            </w:r>
          </w:p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3B3F1D" w:rsidRPr="003B3F1D" w:rsidRDefault="003B3F1D" w:rsidP="005D552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B3F1D" w:rsidRPr="00B97783" w:rsidTr="005D5521">
        <w:trPr>
          <w:trHeight w:val="152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B3F1D" w:rsidRPr="00B97783" w:rsidTr="005D5521">
        <w:trPr>
          <w:trHeight w:val="808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3B3F1D" w:rsidRPr="00CE2347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3B3F1D" w:rsidRPr="00B97783" w:rsidTr="005D5521">
        <w:trPr>
          <w:trHeight w:val="70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6474D0" w:rsidRPr="00A42EF8" w:rsidRDefault="003B3F1D" w:rsidP="006474D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r w:rsidRPr="00A42EF8">
              <w:rPr>
                <w:bCs/>
                <w:sz w:val="22"/>
                <w:szCs w:val="22"/>
              </w:rPr>
              <w:t>: обеспечение заявки</w:t>
            </w:r>
            <w:r w:rsidR="006474D0">
              <w:rPr>
                <w:bCs/>
                <w:sz w:val="22"/>
                <w:szCs w:val="22"/>
              </w:rPr>
              <w:t>: не установлено</w:t>
            </w:r>
          </w:p>
          <w:p w:rsidR="003B3F1D" w:rsidRPr="00A42EF8" w:rsidRDefault="003B3F1D" w:rsidP="005D552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3B3F1D" w:rsidRPr="00A42EF8" w:rsidRDefault="003B3F1D" w:rsidP="005D552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A42EF8">
              <w:rPr>
                <w:b/>
                <w:bCs/>
                <w:sz w:val="22"/>
                <w:szCs w:val="22"/>
              </w:rPr>
              <w:t xml:space="preserve">: </w:t>
            </w:r>
            <w:r w:rsidRPr="00A42EF8">
              <w:rPr>
                <w:bCs/>
                <w:sz w:val="22"/>
                <w:szCs w:val="22"/>
              </w:rPr>
              <w:t>Если</w:t>
            </w:r>
            <w:proofErr w:type="gramEnd"/>
            <w:r w:rsidRPr="00A42EF8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3B3F1D" w:rsidRPr="00B97783" w:rsidTr="005D5521">
        <w:trPr>
          <w:trHeight w:val="70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spacing w:line="23" w:lineRule="atLeast"/>
              <w:jc w:val="both"/>
              <w:rPr>
                <w:bCs/>
              </w:rPr>
            </w:pPr>
            <w:r w:rsidRPr="003B3F1D">
              <w:rPr>
                <w:b/>
                <w:bCs/>
                <w:sz w:val="22"/>
                <w:szCs w:val="22"/>
              </w:rPr>
              <w:t>Лот № 1:</w:t>
            </w:r>
            <w:r w:rsidRPr="003B3F1D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sz w:val="22"/>
                <w:szCs w:val="22"/>
              </w:rPr>
              <w:t>18 615,40</w:t>
            </w:r>
            <w:r w:rsidRPr="003B3F1D">
              <w:rPr>
                <w:b/>
                <w:sz w:val="22"/>
                <w:szCs w:val="22"/>
              </w:rPr>
              <w:t xml:space="preserve"> рублей (5 %)</w:t>
            </w:r>
            <w:r w:rsidRPr="003B3F1D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3B3F1D">
              <w:rPr>
                <w:bCs/>
              </w:rPr>
              <w:t xml:space="preserve"> </w:t>
            </w:r>
          </w:p>
          <w:p w:rsidR="003B3F1D" w:rsidRPr="003B3F1D" w:rsidRDefault="003B3F1D" w:rsidP="005D5521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3B3F1D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3B3F1D" w:rsidRPr="003B3F1D" w:rsidRDefault="003B3F1D" w:rsidP="005D552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3B3F1D" w:rsidRPr="003B3F1D" w:rsidRDefault="003B3F1D" w:rsidP="005D552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B3F1D">
              <w:rPr>
                <w:b/>
                <w:bCs/>
                <w:sz w:val="22"/>
                <w:szCs w:val="22"/>
              </w:rPr>
              <w:t>Примечание:</w:t>
            </w:r>
            <w:r w:rsidRPr="003B3F1D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3B3F1D" w:rsidRPr="003B3F1D" w:rsidRDefault="003B3F1D" w:rsidP="005D552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B3F1D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3B3F1D">
              <w:rPr>
                <w:sz w:val="22"/>
                <w:szCs w:val="22"/>
              </w:rPr>
              <w:t xml:space="preserve">40702810111020101044 Волгоградское ОСБ №8621 ПАО Сбербанк, к/с </w:t>
            </w:r>
            <w:r w:rsidRPr="003B3F1D">
              <w:rPr>
                <w:sz w:val="22"/>
                <w:szCs w:val="22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3B3F1D" w:rsidRPr="00B97783" w:rsidTr="005D5521">
        <w:trPr>
          <w:trHeight w:val="808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3B3F1D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3B3F1D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дом».</w:t>
            </w:r>
          </w:p>
        </w:tc>
      </w:tr>
      <w:tr w:rsidR="003B3F1D" w:rsidRPr="00B97783" w:rsidTr="005D5521">
        <w:trPr>
          <w:trHeight w:val="808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6474D0">
              <w:rPr>
                <w:sz w:val="22"/>
                <w:szCs w:val="22"/>
              </w:rPr>
              <w:t>11</w:t>
            </w:r>
            <w:r w:rsidRPr="003B3F1D">
              <w:rPr>
                <w:sz w:val="22"/>
                <w:szCs w:val="22"/>
              </w:rPr>
              <w:t xml:space="preserve"> час. </w:t>
            </w:r>
            <w:r w:rsidR="006474D0">
              <w:rPr>
                <w:sz w:val="22"/>
                <w:szCs w:val="22"/>
              </w:rPr>
              <w:t>00</w:t>
            </w:r>
            <w:r w:rsidRPr="003B3F1D">
              <w:rPr>
                <w:sz w:val="22"/>
                <w:szCs w:val="22"/>
              </w:rPr>
              <w:t xml:space="preserve"> мин. (время местное, </w:t>
            </w:r>
            <w:r w:rsidRPr="003B3F1D">
              <w:rPr>
                <w:sz w:val="22"/>
                <w:szCs w:val="22"/>
                <w:lang w:val="en-US"/>
              </w:rPr>
              <w:t>GMT</w:t>
            </w:r>
            <w:r w:rsidRPr="003B3F1D">
              <w:rPr>
                <w:sz w:val="22"/>
                <w:szCs w:val="22"/>
              </w:rPr>
              <w:t>+4) «</w:t>
            </w:r>
            <w:r w:rsidR="006474D0">
              <w:rPr>
                <w:sz w:val="22"/>
                <w:szCs w:val="22"/>
              </w:rPr>
              <w:t>14</w:t>
            </w:r>
            <w:r w:rsidRPr="003B3F1D">
              <w:rPr>
                <w:sz w:val="22"/>
                <w:szCs w:val="22"/>
              </w:rPr>
              <w:t xml:space="preserve">» </w:t>
            </w:r>
            <w:r w:rsidR="006474D0">
              <w:rPr>
                <w:sz w:val="22"/>
                <w:szCs w:val="22"/>
              </w:rPr>
              <w:t>января</w:t>
            </w:r>
            <w:r w:rsidRPr="003B3F1D">
              <w:rPr>
                <w:sz w:val="22"/>
                <w:szCs w:val="22"/>
              </w:rPr>
              <w:t xml:space="preserve"> 20</w:t>
            </w:r>
            <w:r w:rsidR="006474D0">
              <w:rPr>
                <w:sz w:val="22"/>
                <w:szCs w:val="22"/>
              </w:rPr>
              <w:t>20</w:t>
            </w:r>
            <w:r w:rsidRPr="003B3F1D">
              <w:rPr>
                <w:sz w:val="22"/>
                <w:szCs w:val="22"/>
              </w:rPr>
              <w:t xml:space="preserve"> года.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3B3F1D" w:rsidRPr="00627AB6" w:rsidTr="005D5521">
        <w:trPr>
          <w:trHeight w:val="808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3B3F1D" w:rsidRPr="003B3F1D" w:rsidRDefault="006474D0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3F1D" w:rsidRPr="003B3F1D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20</w:t>
            </w:r>
            <w:r w:rsidR="003B3F1D" w:rsidRPr="003B3F1D">
              <w:rPr>
                <w:sz w:val="22"/>
                <w:szCs w:val="22"/>
              </w:rPr>
              <w:t xml:space="preserve"> мин. (время местное, </w:t>
            </w:r>
            <w:r w:rsidR="003B3F1D" w:rsidRPr="003B3F1D">
              <w:rPr>
                <w:sz w:val="22"/>
                <w:szCs w:val="22"/>
                <w:lang w:val="en-US"/>
              </w:rPr>
              <w:t>GMT</w:t>
            </w:r>
            <w:r w:rsidR="003B3F1D" w:rsidRPr="003B3F1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3B3F1D" w:rsidRPr="003B3F1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3B3F1D" w:rsidRPr="003B3F1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3B3F1D" w:rsidRPr="003B3F1D">
              <w:rPr>
                <w:sz w:val="22"/>
                <w:szCs w:val="22"/>
              </w:rPr>
              <w:t xml:space="preserve"> года.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3F1D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3B3F1D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3B3F1D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B3F1D" w:rsidRPr="00627AB6" w:rsidTr="005D5521">
        <w:trPr>
          <w:trHeight w:val="808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3B3F1D" w:rsidRPr="003B3F1D" w:rsidRDefault="006474D0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3F1D" w:rsidRPr="003B3F1D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3B3F1D" w:rsidRPr="003B3F1D">
              <w:rPr>
                <w:sz w:val="22"/>
                <w:szCs w:val="22"/>
              </w:rPr>
              <w:t xml:space="preserve"> мин. (время местное, </w:t>
            </w:r>
            <w:r w:rsidR="003B3F1D" w:rsidRPr="003B3F1D">
              <w:rPr>
                <w:sz w:val="22"/>
                <w:szCs w:val="22"/>
                <w:lang w:val="en-US"/>
              </w:rPr>
              <w:t>GMT</w:t>
            </w:r>
            <w:r w:rsidR="003B3F1D" w:rsidRPr="003B3F1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15</w:t>
            </w:r>
            <w:r w:rsidR="003B3F1D" w:rsidRPr="003B3F1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3B3F1D" w:rsidRPr="003B3F1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3B3F1D" w:rsidRPr="003B3F1D">
              <w:rPr>
                <w:sz w:val="22"/>
                <w:szCs w:val="22"/>
              </w:rPr>
              <w:t xml:space="preserve"> года.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3F1D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3B3F1D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3B3F1D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3B3F1D" w:rsidRPr="00627AB6" w:rsidTr="005D5521">
        <w:trPr>
          <w:trHeight w:val="808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3B3F1D" w:rsidRPr="003B3F1D" w:rsidRDefault="006474D0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B3F1D" w:rsidRPr="003B3F1D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3B3F1D" w:rsidRPr="003B3F1D">
              <w:rPr>
                <w:sz w:val="22"/>
                <w:szCs w:val="22"/>
              </w:rPr>
              <w:t xml:space="preserve"> мин. (время местное, </w:t>
            </w:r>
            <w:r w:rsidR="003B3F1D" w:rsidRPr="003B3F1D">
              <w:rPr>
                <w:sz w:val="22"/>
                <w:szCs w:val="22"/>
                <w:lang w:val="en-US"/>
              </w:rPr>
              <w:t>GMT</w:t>
            </w:r>
            <w:r w:rsidR="003B3F1D" w:rsidRPr="003B3F1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3B3F1D" w:rsidRPr="003B3F1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3B3F1D" w:rsidRPr="003B3F1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3B3F1D" w:rsidRPr="003B3F1D">
              <w:rPr>
                <w:sz w:val="22"/>
                <w:szCs w:val="22"/>
              </w:rPr>
              <w:t xml:space="preserve"> года.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3F1D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3B3F1D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3B3F1D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3B3F1D" w:rsidRPr="00627AB6" w:rsidTr="005D5521">
        <w:trPr>
          <w:trHeight w:val="808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3B3F1D" w:rsidRPr="003B3F1D" w:rsidRDefault="006474D0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3F1D" w:rsidRPr="003B3F1D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3B3F1D" w:rsidRPr="003B3F1D">
              <w:rPr>
                <w:sz w:val="22"/>
                <w:szCs w:val="22"/>
              </w:rPr>
              <w:t xml:space="preserve"> мин. (время местное, </w:t>
            </w:r>
            <w:r w:rsidR="003B3F1D" w:rsidRPr="003B3F1D">
              <w:rPr>
                <w:sz w:val="22"/>
                <w:szCs w:val="22"/>
                <w:lang w:val="en-US"/>
              </w:rPr>
              <w:t>GMT</w:t>
            </w:r>
            <w:r w:rsidR="003B3F1D" w:rsidRPr="003B3F1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3B3F1D" w:rsidRPr="003B3F1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3B3F1D" w:rsidRPr="003B3F1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3B3F1D" w:rsidRPr="003B3F1D">
              <w:rPr>
                <w:sz w:val="22"/>
                <w:szCs w:val="22"/>
              </w:rPr>
              <w:t xml:space="preserve"> года.</w:t>
            </w:r>
          </w:p>
        </w:tc>
      </w:tr>
      <w:tr w:rsidR="003B3F1D" w:rsidRPr="00627AB6" w:rsidTr="005D5521">
        <w:trPr>
          <w:trHeight w:val="808"/>
        </w:trPr>
        <w:tc>
          <w:tcPr>
            <w:tcW w:w="426" w:type="dxa"/>
          </w:tcPr>
          <w:p w:rsidR="003B3F1D" w:rsidRPr="003B3F1D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3B3F1D" w:rsidRDefault="003B3F1D" w:rsidP="005D55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3B3F1D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3B3F1D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3B3F1D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3B3F1D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3B3F1D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3B3F1D" w:rsidRPr="003B3F1D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B3F1D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B3F1D" w:rsidRPr="00B97783" w:rsidTr="005D5521">
        <w:trPr>
          <w:trHeight w:val="194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3B3F1D" w:rsidRPr="00B97783" w:rsidTr="005D5521">
        <w:trPr>
          <w:trHeight w:val="194"/>
        </w:trPr>
        <w:tc>
          <w:tcPr>
            <w:tcW w:w="426" w:type="dxa"/>
          </w:tcPr>
          <w:p w:rsidR="003B3F1D" w:rsidRPr="00CE2347" w:rsidRDefault="003B3F1D" w:rsidP="005D552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3F1D" w:rsidRPr="00CE2347" w:rsidRDefault="003B3F1D" w:rsidP="005D552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3B3F1D" w:rsidRPr="004C6544" w:rsidRDefault="003B3F1D" w:rsidP="005D55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3B3F1D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:rsidR="003B3F1D" w:rsidRDefault="003B3F1D" w:rsidP="003B3F1D"/>
    <w:p w:rsidR="007269F7" w:rsidRDefault="007269F7"/>
    <w:sectPr w:rsidR="0072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1D"/>
    <w:rsid w:val="003B3F1D"/>
    <w:rsid w:val="006474D0"/>
    <w:rsid w:val="007269F7"/>
    <w:rsid w:val="00B4420F"/>
    <w:rsid w:val="00C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BCC8F"/>
  <w15:chartTrackingRefBased/>
  <w15:docId w15:val="{3468C4B7-1901-4FCB-8044-ECB179A8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3F1D"/>
    <w:rPr>
      <w:color w:val="0000FF"/>
      <w:u w:val="single"/>
      <w:lang w:val="ru-RU" w:eastAsia="x-none"/>
    </w:rPr>
  </w:style>
  <w:style w:type="paragraph" w:customStyle="1" w:styleId="Default">
    <w:name w:val="Default"/>
    <w:rsid w:val="003B3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3B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3</cp:revision>
  <dcterms:created xsi:type="dcterms:W3CDTF">2019-12-18T09:26:00Z</dcterms:created>
  <dcterms:modified xsi:type="dcterms:W3CDTF">2019-12-27T11:18:00Z</dcterms:modified>
</cp:coreProperties>
</file>